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color w:val="323E4F"/>
          <w:sz w:val="72"/>
          <w:szCs w:val="100"/>
        </w:rPr>
      </w:pPr>
      <w:r>
        <w:rPr>
          <w:rFonts w:hint="eastAsia" w:ascii="宋体" w:hAnsi="宋体"/>
          <w:b/>
          <w:color w:val="323E4F"/>
          <w:sz w:val="72"/>
          <w:szCs w:val="100"/>
        </w:rPr>
        <w:t>盐城工业职业技术学院</w:t>
      </w:r>
    </w:p>
    <w:p>
      <w:pPr>
        <w:jc w:val="center"/>
        <w:rPr>
          <w:rFonts w:ascii="宋体" w:hAnsi="宋体"/>
          <w:b/>
          <w:color w:val="323E4F"/>
          <w:sz w:val="56"/>
          <w:szCs w:val="100"/>
        </w:rPr>
      </w:pPr>
      <w:r>
        <w:rPr>
          <w:rFonts w:hint="eastAsia" w:ascii="宋体" w:hAnsi="宋体"/>
          <w:b/>
          <w:color w:val="323E4F"/>
          <w:sz w:val="56"/>
          <w:szCs w:val="100"/>
        </w:rPr>
        <w:t>校内基础津贴考核</w:t>
      </w:r>
    </w:p>
    <w:p>
      <w:pPr>
        <w:jc w:val="center"/>
        <w:rPr>
          <w:rFonts w:ascii="宋体" w:hAnsi="宋体"/>
          <w:b/>
          <w:color w:val="323E4F"/>
          <w:sz w:val="56"/>
          <w:szCs w:val="100"/>
        </w:rPr>
      </w:pPr>
      <w:r>
        <w:rPr>
          <w:rFonts w:hint="eastAsia" w:ascii="宋体" w:hAnsi="宋体"/>
          <w:b/>
          <w:color w:val="323E4F"/>
          <w:sz w:val="56"/>
          <w:szCs w:val="100"/>
        </w:rPr>
        <w:t>用户操作手册</w:t>
      </w:r>
    </w:p>
    <w:p>
      <w:pPr>
        <w:rPr>
          <w:rFonts w:ascii="宋体" w:hAnsi="宋体"/>
          <w:b/>
          <w:color w:val="323E4F"/>
          <w:sz w:val="56"/>
          <w:szCs w:val="100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jc w:val="center"/>
        <w:rPr>
          <w:rFonts w:ascii="宋体" w:hAnsi="宋体"/>
          <w:b/>
          <w:sz w:val="40"/>
        </w:rPr>
      </w:pPr>
      <w:bookmarkStart w:id="0" w:name="_Toc299982760"/>
      <w:r>
        <w:rPr>
          <w:rFonts w:hint="eastAsia" w:ascii="宋体" w:hAnsi="宋体"/>
          <w:b/>
          <w:sz w:val="40"/>
        </w:rPr>
        <w:t>202</w:t>
      </w:r>
      <w:r>
        <w:rPr>
          <w:rFonts w:ascii="宋体" w:hAnsi="宋体"/>
          <w:b/>
          <w:sz w:val="40"/>
        </w:rPr>
        <w:t>2</w:t>
      </w:r>
      <w:r>
        <w:rPr>
          <w:rFonts w:hint="eastAsia" w:ascii="宋体" w:hAnsi="宋体"/>
          <w:b/>
          <w:sz w:val="40"/>
        </w:rPr>
        <w:t xml:space="preserve">年 </w:t>
      </w:r>
      <w:r>
        <w:rPr>
          <w:rFonts w:ascii="宋体" w:hAnsi="宋体"/>
          <w:b/>
          <w:sz w:val="40"/>
        </w:rPr>
        <w:t>01</w:t>
      </w:r>
      <w:r>
        <w:rPr>
          <w:rFonts w:hint="eastAsia" w:ascii="宋体" w:hAnsi="宋体"/>
          <w:b/>
          <w:sz w:val="40"/>
        </w:rPr>
        <w:t>月</w:t>
      </w:r>
      <w:bookmarkEnd w:id="0"/>
    </w:p>
    <w:p>
      <w:pPr>
        <w:ind w:firstLine="1320" w:firstLineChars="550"/>
        <w:rPr>
          <w:rFonts w:ascii="宋体" w:hAnsi="宋体"/>
          <w:sz w:val="24"/>
        </w:rPr>
      </w:pPr>
    </w:p>
    <w:p>
      <w:pPr>
        <w:jc w:val="center"/>
        <w:rPr>
          <w:rFonts w:ascii="宋体" w:hAnsi="宋体"/>
          <w:sz w:val="24"/>
        </w:rPr>
      </w:pPr>
    </w:p>
    <w:p>
      <w:pPr>
        <w:pStyle w:val="25"/>
      </w:pPr>
      <w:r>
        <w:br w:type="page"/>
      </w:r>
      <w:r>
        <w:rPr>
          <w:lang w:val="zh-CN"/>
        </w:rPr>
        <w:t>目录</w:t>
      </w:r>
      <w:r>
        <w:rPr>
          <w:color w:val="365F91"/>
          <w:kern w:val="0"/>
          <w:sz w:val="28"/>
          <w:szCs w:val="28"/>
        </w:rPr>
        <w:fldChar w:fldCharType="begin"/>
      </w:r>
      <w:r>
        <w:instrText xml:space="preserve"> TOC \o "1-3" \h \z \u </w:instrText>
      </w:r>
      <w:r>
        <w:rPr>
          <w:color w:val="365F91"/>
          <w:kern w:val="0"/>
          <w:sz w:val="28"/>
          <w:szCs w:val="28"/>
        </w:rPr>
        <w:fldChar w:fldCharType="separate"/>
      </w:r>
    </w:p>
    <w:p>
      <w:pPr>
        <w:pStyle w:val="11"/>
        <w:tabs>
          <w:tab w:val="left" w:pos="420"/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"_Toc92272224" </w:instrText>
      </w:r>
      <w:r>
        <w:fldChar w:fldCharType="separate"/>
      </w:r>
      <w:r>
        <w:rPr>
          <w:rStyle w:val="15"/>
          <w:rFonts w:ascii="宋体" w:hAnsi="宋体"/>
        </w:rPr>
        <w:t>1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15"/>
          <w:rFonts w:ascii="宋体" w:hAnsi="宋体"/>
        </w:rPr>
        <w:t>业务流程介绍</w:t>
      </w:r>
      <w:r>
        <w:tab/>
      </w:r>
      <w:r>
        <w:fldChar w:fldCharType="begin"/>
      </w:r>
      <w:r>
        <w:instrText xml:space="preserve"> PAGEREF _Toc92272224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1"/>
        <w:tabs>
          <w:tab w:val="left" w:pos="420"/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"_Toc92272225" </w:instrText>
      </w:r>
      <w:r>
        <w:fldChar w:fldCharType="separate"/>
      </w:r>
      <w:r>
        <w:rPr>
          <w:rStyle w:val="15"/>
          <w:rFonts w:ascii="宋体" w:hAnsi="宋体"/>
        </w:rPr>
        <w:t>2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15"/>
          <w:rFonts w:ascii="宋体" w:hAnsi="宋体"/>
        </w:rPr>
        <w:t>客户端浏览器要求</w:t>
      </w:r>
      <w:r>
        <w:tab/>
      </w:r>
      <w:r>
        <w:fldChar w:fldCharType="begin"/>
      </w:r>
      <w:r>
        <w:instrText xml:space="preserve"> PAGEREF _Toc92272225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1"/>
        <w:tabs>
          <w:tab w:val="left" w:pos="420"/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"_Toc92272226" </w:instrText>
      </w:r>
      <w:r>
        <w:fldChar w:fldCharType="separate"/>
      </w:r>
      <w:r>
        <w:rPr>
          <w:rStyle w:val="15"/>
          <w:rFonts w:ascii="宋体" w:hAnsi="宋体"/>
        </w:rPr>
        <w:t>3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15"/>
          <w:rFonts w:ascii="宋体" w:hAnsi="宋体"/>
        </w:rPr>
        <w:t>如何进入</w:t>
      </w:r>
      <w:r>
        <w:tab/>
      </w:r>
      <w:r>
        <w:fldChar w:fldCharType="begin"/>
      </w:r>
      <w:r>
        <w:instrText xml:space="preserve"> PAGEREF _Toc92272226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1"/>
        <w:tabs>
          <w:tab w:val="left" w:pos="420"/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"_Toc92272227" </w:instrText>
      </w:r>
      <w:r>
        <w:fldChar w:fldCharType="separate"/>
      </w:r>
      <w:r>
        <w:rPr>
          <w:rStyle w:val="15"/>
          <w:rFonts w:ascii="宋体" w:hAnsi="宋体"/>
        </w:rPr>
        <w:t>4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15"/>
          <w:rFonts w:ascii="宋体" w:hAnsi="宋体"/>
        </w:rPr>
        <w:t>系统使用</w:t>
      </w:r>
      <w:r>
        <w:tab/>
      </w:r>
      <w:r>
        <w:fldChar w:fldCharType="begin"/>
      </w:r>
      <w:r>
        <w:instrText xml:space="preserve"> PAGEREF _Toc92272227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2"/>
        <w:tabs>
          <w:tab w:val="left" w:pos="1050"/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"_Toc92272228" </w:instrText>
      </w:r>
      <w:r>
        <w:fldChar w:fldCharType="separate"/>
      </w:r>
      <w:r>
        <w:rPr>
          <w:rStyle w:val="15"/>
          <w:rFonts w:ascii="宋体" w:hAnsi="宋体"/>
        </w:rPr>
        <w:t>4.1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15"/>
          <w:rFonts w:ascii="宋体" w:hAnsi="宋体"/>
        </w:rPr>
        <w:t>个人申请</w:t>
      </w:r>
      <w:r>
        <w:tab/>
      </w:r>
      <w:r>
        <w:fldChar w:fldCharType="begin"/>
      </w:r>
      <w:r>
        <w:instrText xml:space="preserve"> PAGEREF _Toc92272228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rPr>
          <w:rFonts w:ascii="宋体" w:hAnsi="宋体"/>
        </w:rPr>
      </w:pPr>
      <w:r>
        <w:rPr>
          <w:rFonts w:ascii="宋体" w:hAnsi="宋体"/>
        </w:rPr>
        <w:fldChar w:fldCharType="end"/>
      </w:r>
    </w:p>
    <w:p>
      <w:pPr>
        <w:rPr>
          <w:rFonts w:ascii="宋体" w:hAnsi="宋体"/>
        </w:rPr>
      </w:pPr>
      <w:r>
        <w:rPr>
          <w:rFonts w:ascii="宋体" w:hAnsi="宋体"/>
        </w:rPr>
        <w:br w:type="page"/>
      </w:r>
    </w:p>
    <w:p>
      <w:pPr>
        <w:pStyle w:val="2"/>
        <w:pageBreakBefore w:val="0"/>
        <w:ind w:left="431" w:hanging="431"/>
        <w:rPr>
          <w:rFonts w:ascii="宋体" w:hAnsi="宋体"/>
        </w:rPr>
      </w:pPr>
      <w:bookmarkStart w:id="1" w:name="_Toc126782463"/>
      <w:bookmarkStart w:id="2" w:name="_Toc178153899"/>
      <w:bookmarkStart w:id="3" w:name="_Toc178389924"/>
      <w:bookmarkStart w:id="4" w:name="_Toc92272224"/>
      <w:r>
        <w:rPr>
          <w:rFonts w:hint="eastAsia" w:ascii="宋体" w:hAnsi="宋体"/>
        </w:rPr>
        <w:t>业务流程介绍</w:t>
      </w:r>
      <w:bookmarkEnd w:id="1"/>
      <w:bookmarkEnd w:id="2"/>
      <w:bookmarkEnd w:id="3"/>
      <w:bookmarkEnd w:id="4"/>
    </w:p>
    <w:p>
      <w:pPr>
        <w:spacing w:before="0" w:beforeAutospacing="0" w:after="0" w:afterAutospacing="0" w:line="360" w:lineRule="auto"/>
        <w:ind w:firstLine="480" w:firstLineChars="200"/>
        <w:rPr>
          <w:rFonts w:ascii="宋体" w:hAnsi="宋体"/>
          <w:sz w:val="24"/>
        </w:rPr>
      </w:pPr>
      <w:bookmarkStart w:id="5" w:name="_Toc483985758"/>
      <w:bookmarkStart w:id="6" w:name="_Toc178389927"/>
      <w:bookmarkStart w:id="7" w:name="_Toc178153902"/>
      <w:r>
        <w:rPr>
          <w:rFonts w:hint="eastAsia" w:ascii="宋体" w:hAnsi="宋体"/>
          <w:sz w:val="24"/>
        </w:rPr>
        <w:t>受聘在教学岗位、管理岗位、其他专业技术岗位、工勤岗位的人员对照岗位职责及进档条件，完成岗位职责且年度考核合格，享受相应职档岗位津贴。</w:t>
      </w:r>
    </w:p>
    <w:p>
      <w:pPr>
        <w:pStyle w:val="2"/>
        <w:pageBreakBefore w:val="0"/>
        <w:ind w:left="431" w:hanging="431"/>
        <w:rPr>
          <w:rFonts w:ascii="宋体" w:hAnsi="宋体"/>
        </w:rPr>
      </w:pPr>
      <w:bookmarkStart w:id="8" w:name="_Toc92272225"/>
      <w:r>
        <w:rPr>
          <w:rFonts w:hint="eastAsia" w:ascii="宋体" w:hAnsi="宋体"/>
        </w:rPr>
        <w:t>客户端浏览器要求</w:t>
      </w:r>
      <w:bookmarkEnd w:id="5"/>
      <w:bookmarkEnd w:id="8"/>
    </w:p>
    <w:p>
      <w:pPr>
        <w:spacing w:before="0" w:beforeAutospacing="0" w:after="0" w:afterAutospacing="0"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IE9</w:t>
      </w:r>
      <w:r>
        <w:rPr>
          <w:rFonts w:hint="eastAsia" w:ascii="宋体" w:hAnsi="宋体"/>
          <w:sz w:val="24"/>
        </w:rPr>
        <w:t>、IE10、IE11</w:t>
      </w:r>
    </w:p>
    <w:p>
      <w:pPr>
        <w:spacing w:before="0" w:beforeAutospacing="0" w:after="0" w:afterAutospacing="0"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谷歌</w:t>
      </w:r>
      <w:r>
        <w:rPr>
          <w:rFonts w:ascii="宋体" w:hAnsi="宋体"/>
          <w:sz w:val="24"/>
        </w:rPr>
        <w:t>C</w:t>
      </w:r>
      <w:r>
        <w:rPr>
          <w:rFonts w:hint="eastAsia" w:ascii="宋体" w:hAnsi="宋体"/>
          <w:sz w:val="24"/>
        </w:rPr>
        <w:t>hrome</w:t>
      </w:r>
    </w:p>
    <w:p>
      <w:pPr>
        <w:spacing w:before="0" w:beforeAutospacing="0" w:after="0" w:afterAutospacing="0"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360安全浏览器8.1</w:t>
      </w:r>
      <w:r>
        <w:rPr>
          <w:rFonts w:ascii="宋体" w:hAnsi="宋体"/>
          <w:sz w:val="24"/>
        </w:rPr>
        <w:t>*</w:t>
      </w:r>
      <w:r>
        <w:rPr>
          <w:rFonts w:hint="eastAsia" w:ascii="宋体" w:hAnsi="宋体"/>
          <w:sz w:val="24"/>
        </w:rPr>
        <w:t>、360安全</w:t>
      </w:r>
      <w:r>
        <w:rPr>
          <w:rFonts w:ascii="宋体" w:hAnsi="宋体"/>
          <w:sz w:val="24"/>
        </w:rPr>
        <w:t>浏览器</w:t>
      </w:r>
      <w:r>
        <w:rPr>
          <w:rFonts w:hint="eastAsia" w:ascii="宋体" w:hAnsi="宋体"/>
          <w:sz w:val="24"/>
        </w:rPr>
        <w:t>8.5</w:t>
      </w:r>
      <w:r>
        <w:rPr>
          <w:rFonts w:ascii="宋体" w:hAnsi="宋体"/>
          <w:sz w:val="24"/>
        </w:rPr>
        <w:t>*</w:t>
      </w:r>
      <w:r>
        <w:rPr>
          <w:rFonts w:hint="eastAsia" w:ascii="宋体" w:hAnsi="宋体"/>
          <w:sz w:val="24"/>
        </w:rPr>
        <w:t>（需要设置为极速模式）</w:t>
      </w:r>
    </w:p>
    <w:p>
      <w:pPr>
        <w:spacing w:before="0" w:beforeAutospacing="0" w:after="0" w:afterAutospacing="0"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S</w:t>
      </w:r>
      <w:r>
        <w:rPr>
          <w:rFonts w:hint="eastAsia" w:ascii="宋体" w:hAnsi="宋体"/>
          <w:sz w:val="24"/>
        </w:rPr>
        <w:t>afari</w:t>
      </w:r>
    </w:p>
    <w:p>
      <w:pPr>
        <w:pStyle w:val="2"/>
        <w:pageBreakBefore w:val="0"/>
        <w:ind w:left="431" w:hanging="431"/>
        <w:rPr>
          <w:rFonts w:ascii="宋体" w:hAnsi="宋体"/>
        </w:rPr>
      </w:pPr>
      <w:bookmarkStart w:id="9" w:name="_Toc483985759"/>
      <w:bookmarkStart w:id="10" w:name="_Toc27590555"/>
      <w:bookmarkStart w:id="11" w:name="_Toc92272226"/>
      <w:r>
        <w:rPr>
          <w:rFonts w:hint="eastAsia" w:ascii="宋体" w:hAnsi="宋体"/>
        </w:rPr>
        <w:t>如何</w:t>
      </w:r>
      <w:r>
        <w:rPr>
          <w:rFonts w:ascii="宋体" w:hAnsi="宋体"/>
        </w:rPr>
        <w:t>进入</w:t>
      </w:r>
      <w:bookmarkEnd w:id="9"/>
      <w:bookmarkEnd w:id="10"/>
      <w:bookmarkEnd w:id="11"/>
    </w:p>
    <w:bookmarkEnd w:id="6"/>
    <w:bookmarkEnd w:id="7"/>
    <w:p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8"/>
          <w:szCs w:val="28"/>
        </w:rPr>
        <w:t>在浏览器地址栏输入</w:t>
      </w:r>
      <w:r>
        <w:rPr>
          <w:rFonts w:ascii="宋体" w:hAnsi="宋体"/>
          <w:sz w:val="28"/>
          <w:szCs w:val="28"/>
        </w:rPr>
        <w:t>http://ehall.yctei.cn/</w:t>
      </w:r>
      <w:r>
        <w:rPr>
          <w:rFonts w:hint="eastAsia" w:ascii="宋体" w:hAnsi="宋体"/>
          <w:sz w:val="28"/>
          <w:szCs w:val="28"/>
        </w:rPr>
        <w:t>，进入盐城工业职业技术学院网上办事服务大厅，点击登录按钮</w:t>
      </w:r>
      <w:r>
        <w:rPr>
          <w:rFonts w:hint="eastAsia" w:ascii="宋体" w:hAnsi="宋体"/>
          <w:sz w:val="24"/>
        </w:rPr>
        <w:t>。</w:t>
      </w:r>
    </w:p>
    <w:p>
      <w:pPr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56921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输入统一身份认证账号（即工号）和密码</w:t>
      </w:r>
    </w:p>
    <w:p>
      <w:pPr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57619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在桌面左侧点开“可用应用”，找到“校内基础津贴考核”</w:t>
      </w:r>
    </w:p>
    <w:p>
      <w:pPr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4701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或者在顶端搜索框，搜索“基础津贴”等模糊查找，点击进入应用</w:t>
      </w:r>
    </w:p>
    <w:p>
      <w:pPr>
        <w:spacing w:line="360" w:lineRule="auto"/>
        <w:rPr>
          <w:rFonts w:hint="eastAsia" w:ascii="宋体" w:hAnsi="宋体"/>
          <w:sz w:val="28"/>
          <w:szCs w:val="28"/>
        </w:rPr>
      </w:pPr>
      <w:r>
        <w:rPr>
          <w:rFonts w:ascii="宋体" w:hAnsi="宋体"/>
        </w:rPr>
        <w:drawing>
          <wp:inline distT="0" distB="0" distL="0" distR="0">
            <wp:extent cx="5274310" cy="256667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ind w:left="431" w:hanging="431"/>
        <w:rPr>
          <w:rFonts w:ascii="宋体" w:hAnsi="宋体"/>
        </w:rPr>
      </w:pPr>
      <w:bookmarkStart w:id="12" w:name="_Toc92272227"/>
      <w:r>
        <w:rPr>
          <w:rFonts w:hint="eastAsia" w:ascii="宋体" w:hAnsi="宋体"/>
        </w:rPr>
        <w:t>系统使用</w:t>
      </w:r>
      <w:bookmarkEnd w:id="12"/>
    </w:p>
    <w:p>
      <w:pPr>
        <w:pStyle w:val="3"/>
        <w:rPr>
          <w:rFonts w:ascii="宋体" w:hAnsi="宋体"/>
        </w:rPr>
      </w:pPr>
      <w:bookmarkStart w:id="13" w:name="_Toc92272228"/>
      <w:r>
        <w:rPr>
          <w:rFonts w:hint="eastAsia" w:ascii="宋体" w:hAnsi="宋体"/>
        </w:rPr>
        <w:t>个人申请</w:t>
      </w:r>
      <w:bookmarkEnd w:id="13"/>
    </w:p>
    <w:p>
      <w:pPr>
        <w:ind w:left="420"/>
        <w:rPr>
          <w:rFonts w:ascii="宋体" w:hAnsi="宋体"/>
        </w:rPr>
      </w:pPr>
      <w:r>
        <w:rPr>
          <w:rFonts w:hint="eastAsia" w:ascii="宋体" w:hAnsi="宋体"/>
        </w:rPr>
        <w:t>操作1：对于多用户组人员，申请以“教师组”身份进入应用，其他无多重身份，系统会自动进入</w:t>
      </w:r>
      <w:bookmarkStart w:id="14" w:name="_GoBack"/>
      <w:bookmarkEnd w:id="14"/>
    </w:p>
    <w:p>
      <w:pPr>
        <w:ind w:left="420"/>
        <w:rPr>
          <w:rFonts w:hint="eastAsia" w:ascii="宋体" w:hAnsi="宋体"/>
        </w:rPr>
      </w:pPr>
      <w:r>
        <w:drawing>
          <wp:inline distT="0" distB="0" distL="114300" distR="114300">
            <wp:extent cx="5269865" cy="4025900"/>
            <wp:effectExtent l="0" t="0" r="6985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</w:rPr>
      </w:pPr>
      <w:r>
        <w:rPr>
          <w:rFonts w:hint="eastAsia" w:ascii="宋体" w:hAnsi="宋体"/>
        </w:rPr>
        <w:t>操作2：选择符合自己条件的岗位类型进行申报：教学岗位、其他专业技术岗位、党政管理岗位、工勤技能岗位</w:t>
      </w:r>
    </w:p>
    <w:p>
      <w:pPr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30372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</w:rPr>
      </w:pPr>
      <w:r>
        <w:rPr>
          <w:rFonts w:hint="eastAsia" w:ascii="宋体" w:hAnsi="宋体"/>
        </w:rPr>
        <w:t>操作3：工勤技能岗位，默认界面不显示，需要点击向右的箭头</w:t>
      </w:r>
    </w:p>
    <w:p>
      <w:pPr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41681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</w:rPr>
      </w:pPr>
      <w:r>
        <w:rPr>
          <w:rFonts w:hint="eastAsia" w:ascii="宋体" w:hAnsi="宋体"/>
        </w:rPr>
        <w:t>操作4：选择合适岗位及级别后，点击开始申报</w:t>
      </w:r>
    </w:p>
    <w:p>
      <w:pPr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75018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</w:rPr>
      </w:pPr>
      <w:r>
        <w:rPr>
          <w:rFonts w:hint="eastAsia" w:ascii="宋体" w:hAnsi="宋体"/>
        </w:rPr>
        <w:t>操作</w:t>
      </w:r>
      <w:r>
        <w:rPr>
          <w:rFonts w:ascii="宋体" w:hAnsi="宋体"/>
        </w:rPr>
        <w:t>5</w:t>
      </w:r>
      <w:r>
        <w:rPr>
          <w:rFonts w:hint="eastAsia" w:ascii="宋体" w:hAnsi="宋体"/>
        </w:rPr>
        <w:t>：进入申报界面需要首先需要维护“受聘日期”，受聘年限根据受聘日期自动计算出来</w:t>
      </w:r>
    </w:p>
    <w:p>
      <w:pPr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68922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</w:rPr>
      </w:pPr>
      <w:r>
        <w:rPr>
          <w:rFonts w:hint="eastAsia" w:ascii="宋体" w:hAnsi="宋体"/>
        </w:rPr>
        <w:t>操作6：对于符合条件的指标项，需要点击“编辑”，根据要求上传附件，填报信息，选择“是否符合”</w:t>
      </w:r>
    </w:p>
    <w:p>
      <w:pPr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33870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</w:rPr>
      </w:pPr>
      <w:r>
        <w:rPr>
          <w:rFonts w:hint="eastAsia" w:ascii="宋体" w:hAnsi="宋体"/>
        </w:rPr>
        <w:t>操作7：指标项目维护好了，附件上传之后，点击“点击提交”</w:t>
      </w:r>
    </w:p>
    <w:p>
      <w:pPr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33934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</w:rPr>
      </w:pPr>
      <w:r>
        <w:rPr>
          <w:rFonts w:hint="eastAsia" w:ascii="宋体" w:hAnsi="宋体"/>
        </w:rPr>
        <w:t>操作8：点击提交之后，可以点击右上角“申报进度”查看申报的审核情况</w:t>
      </w:r>
    </w:p>
    <w:p>
      <w:pPr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48666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</w:rPr>
      </w:pPr>
      <w:r>
        <w:rPr>
          <w:rFonts w:hint="eastAsia" w:ascii="宋体" w:hAnsi="宋体"/>
        </w:rPr>
        <w:t>操作9：点击“申报历史”可以查看历年的申报记录</w:t>
      </w:r>
    </w:p>
    <w:p>
      <w:pPr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301180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 xml:space="preserve"> </w:t>
      </w:r>
      <w:r>
        <w:rPr>
          <w:rFonts w:ascii="宋体" w:hAnsi="宋体"/>
        </w:rPr>
        <w:t xml:space="preserve">                                                        ==</w:t>
      </w:r>
      <w:r>
        <w:rPr>
          <w:rFonts w:hint="eastAsia" w:ascii="宋体" w:hAnsi="宋体"/>
        </w:rPr>
        <w:t>本文结束=</w:t>
      </w:r>
      <w:r>
        <w:rPr>
          <w:rFonts w:ascii="宋体" w:hAnsi="宋体"/>
        </w:rPr>
        <w:t>=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1A0C52"/>
    <w:multiLevelType w:val="multilevel"/>
    <w:tmpl w:val="461A0C52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F0F"/>
    <w:rsid w:val="000A09DF"/>
    <w:rsid w:val="00336BF1"/>
    <w:rsid w:val="00782143"/>
    <w:rsid w:val="007F4947"/>
    <w:rsid w:val="00975F0F"/>
    <w:rsid w:val="009F307B"/>
    <w:rsid w:val="00C42E68"/>
    <w:rsid w:val="018A7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00" w:beforeAutospacing="1" w:after="100" w:afterAutospacing="1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7"/>
    <w:qFormat/>
    <w:uiPriority w:val="0"/>
    <w:pPr>
      <w:keepNext/>
      <w:keepLines/>
      <w:pageBreakBefore/>
      <w:numPr>
        <w:ilvl w:val="0"/>
        <w:numId w:val="1"/>
      </w:numPr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qFormat/>
    <w:uiPriority w:val="0"/>
    <w:pPr>
      <w:keepNext/>
      <w:keepLines/>
      <w:numPr>
        <w:ilvl w:val="1"/>
        <w:numId w:val="1"/>
      </w:numPr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link w:val="18"/>
    <w:qFormat/>
    <w:uiPriority w:val="0"/>
    <w:pPr>
      <w:keepNext/>
      <w:keepLines/>
      <w:numPr>
        <w:ilvl w:val="2"/>
        <w:numId w:val="1"/>
      </w:numPr>
      <w:outlineLvl w:val="2"/>
    </w:pPr>
    <w:rPr>
      <w:b/>
      <w:bCs/>
      <w:sz w:val="28"/>
      <w:szCs w:val="32"/>
    </w:rPr>
  </w:style>
  <w:style w:type="paragraph" w:styleId="5">
    <w:name w:val="heading 4"/>
    <w:basedOn w:val="1"/>
    <w:next w:val="1"/>
    <w:link w:val="19"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b/>
      <w:bCs/>
      <w:szCs w:val="28"/>
    </w:rPr>
  </w:style>
  <w:style w:type="paragraph" w:styleId="6">
    <w:name w:val="heading 5"/>
    <w:basedOn w:val="1"/>
    <w:next w:val="1"/>
    <w:link w:val="20"/>
    <w:qFormat/>
    <w:uiPriority w:val="0"/>
    <w:pPr>
      <w:keepNext/>
      <w:keepLines/>
      <w:numPr>
        <w:ilvl w:val="4"/>
        <w:numId w:val="1"/>
      </w:numPr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21"/>
    <w:qFormat/>
    <w:uiPriority w:val="0"/>
    <w:pPr>
      <w:keepNext/>
      <w:keepLines/>
      <w:numPr>
        <w:ilvl w:val="5"/>
        <w:numId w:val="1"/>
      </w:numPr>
      <w:outlineLvl w:val="5"/>
    </w:pPr>
    <w:rPr>
      <w:b/>
      <w:bCs/>
    </w:rPr>
  </w:style>
  <w:style w:type="paragraph" w:styleId="8">
    <w:name w:val="heading 7"/>
    <w:basedOn w:val="1"/>
    <w:next w:val="1"/>
    <w:link w:val="22"/>
    <w:qFormat/>
    <w:uiPriority w:val="0"/>
    <w:pPr>
      <w:keepNext/>
      <w:keepLines/>
      <w:numPr>
        <w:ilvl w:val="6"/>
        <w:numId w:val="1"/>
      </w:numPr>
      <w:outlineLvl w:val="6"/>
    </w:pPr>
    <w:rPr>
      <w:b/>
      <w:bCs/>
    </w:rPr>
  </w:style>
  <w:style w:type="paragraph" w:styleId="9">
    <w:name w:val="heading 8"/>
    <w:basedOn w:val="1"/>
    <w:next w:val="1"/>
    <w:link w:val="23"/>
    <w:qFormat/>
    <w:uiPriority w:val="0"/>
    <w:pPr>
      <w:keepNext/>
      <w:keepLines/>
      <w:numPr>
        <w:ilvl w:val="7"/>
        <w:numId w:val="1"/>
      </w:numPr>
      <w:outlineLvl w:val="7"/>
    </w:pPr>
    <w:rPr>
      <w:b/>
    </w:rPr>
  </w:style>
  <w:style w:type="paragraph" w:styleId="10">
    <w:name w:val="heading 9"/>
    <w:basedOn w:val="1"/>
    <w:next w:val="1"/>
    <w:link w:val="24"/>
    <w:qFormat/>
    <w:uiPriority w:val="0"/>
    <w:pPr>
      <w:keepNext/>
      <w:keepLines/>
      <w:numPr>
        <w:ilvl w:val="8"/>
        <w:numId w:val="1"/>
      </w:numPr>
      <w:outlineLvl w:val="8"/>
    </w:pPr>
    <w:rPr>
      <w:b/>
      <w:szCs w:val="21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1"/>
    <w:next w:val="1"/>
    <w:unhideWhenUsed/>
    <w:uiPriority w:val="39"/>
  </w:style>
  <w:style w:type="paragraph" w:styleId="12">
    <w:name w:val="toc 2"/>
    <w:basedOn w:val="1"/>
    <w:next w:val="1"/>
    <w:unhideWhenUsed/>
    <w:uiPriority w:val="39"/>
    <w:pPr>
      <w:ind w:left="420" w:leftChars="200"/>
    </w:pPr>
  </w:style>
  <w:style w:type="character" w:styleId="15">
    <w:name w:val="Hyperlink"/>
    <w:uiPriority w:val="99"/>
    <w:rPr>
      <w:color w:val="0000FF"/>
      <w:u w:val="single"/>
    </w:rPr>
  </w:style>
  <w:style w:type="character" w:customStyle="1" w:styleId="16">
    <w:name w:val="标题 1 字符"/>
    <w:basedOn w:val="14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7">
    <w:name w:val="标题 2 字符"/>
    <w:basedOn w:val="14"/>
    <w:link w:val="3"/>
    <w:qFormat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18">
    <w:name w:val="标题 3 字符"/>
    <w:basedOn w:val="14"/>
    <w:link w:val="4"/>
    <w:qFormat/>
    <w:uiPriority w:val="0"/>
    <w:rPr>
      <w:rFonts w:ascii="Times New Roman" w:hAnsi="Times New Roman" w:eastAsia="宋体" w:cs="Times New Roman"/>
      <w:b/>
      <w:bCs/>
      <w:sz w:val="28"/>
      <w:szCs w:val="32"/>
    </w:rPr>
  </w:style>
  <w:style w:type="character" w:customStyle="1" w:styleId="19">
    <w:name w:val="标题 4 字符"/>
    <w:basedOn w:val="14"/>
    <w:link w:val="5"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20">
    <w:name w:val="标题 5 字符"/>
    <w:basedOn w:val="14"/>
    <w:link w:val="6"/>
    <w:qFormat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21">
    <w:name w:val="标题 6 字符"/>
    <w:basedOn w:val="14"/>
    <w:link w:val="7"/>
    <w:qFormat/>
    <w:uiPriority w:val="0"/>
    <w:rPr>
      <w:rFonts w:ascii="Times New Roman" w:hAnsi="Times New Roman" w:eastAsia="宋体" w:cs="Times New Roman"/>
      <w:b/>
      <w:bCs/>
      <w:szCs w:val="24"/>
    </w:rPr>
  </w:style>
  <w:style w:type="character" w:customStyle="1" w:styleId="22">
    <w:name w:val="标题 7 字符"/>
    <w:basedOn w:val="14"/>
    <w:link w:val="8"/>
    <w:qFormat/>
    <w:uiPriority w:val="0"/>
    <w:rPr>
      <w:rFonts w:ascii="Times New Roman" w:hAnsi="Times New Roman" w:eastAsia="宋体" w:cs="Times New Roman"/>
      <w:b/>
      <w:bCs/>
      <w:szCs w:val="24"/>
    </w:rPr>
  </w:style>
  <w:style w:type="character" w:customStyle="1" w:styleId="23">
    <w:name w:val="标题 8 字符"/>
    <w:basedOn w:val="14"/>
    <w:link w:val="9"/>
    <w:uiPriority w:val="0"/>
    <w:rPr>
      <w:rFonts w:ascii="Times New Roman" w:hAnsi="Times New Roman" w:eastAsia="宋体" w:cs="Times New Roman"/>
      <w:b/>
      <w:szCs w:val="24"/>
    </w:rPr>
  </w:style>
  <w:style w:type="character" w:customStyle="1" w:styleId="24">
    <w:name w:val="标题 9 字符"/>
    <w:basedOn w:val="14"/>
    <w:link w:val="10"/>
    <w:uiPriority w:val="0"/>
    <w:rPr>
      <w:rFonts w:ascii="Times New Roman" w:hAnsi="Times New Roman" w:eastAsia="宋体" w:cs="Times New Roman"/>
      <w:b/>
      <w:szCs w:val="21"/>
    </w:rPr>
  </w:style>
  <w:style w:type="paragraph" w:customStyle="1" w:styleId="25">
    <w:name w:val="首页标题"/>
    <w:basedOn w:val="1"/>
    <w:uiPriority w:val="0"/>
    <w:pPr>
      <w:jc w:val="center"/>
    </w:pPr>
    <w:rPr>
      <w:rFonts w:ascii="宋体" w:hAnsi="宋体" w:cs="宋体"/>
      <w:b/>
      <w:bCs/>
      <w:sz w:val="44"/>
      <w:szCs w:val="20"/>
    </w:rPr>
  </w:style>
  <w:style w:type="paragraph" w:customStyle="1" w:styleId="26">
    <w:name w:val="_Style 22"/>
    <w:basedOn w:val="1"/>
    <w:next w:val="1"/>
    <w:uiPriority w:val="39"/>
    <w:pPr>
      <w:spacing w:before="0" w:beforeAutospacing="0" w:after="0" w:afterAutospacing="0"/>
      <w:ind w:left="210"/>
      <w:jc w:val="left"/>
    </w:pPr>
    <w:rPr>
      <w:smallCaps/>
      <w:sz w:val="20"/>
      <w:szCs w:val="20"/>
    </w:rPr>
  </w:style>
  <w:style w:type="character" w:customStyle="1" w:styleId="27">
    <w:name w:val="标题 1 Char"/>
    <w:link w:val="2"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EAADB97-AD7E-42FA-8E25-C950A4DCC94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172</Words>
  <Characters>982</Characters>
  <Lines>8</Lines>
  <Paragraphs>2</Paragraphs>
  <TotalTime>24</TotalTime>
  <ScaleCrop>false</ScaleCrop>
  <LinksUpToDate>false</LinksUpToDate>
  <CharactersWithSpaces>1152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2022-01-05T02:25:00Z</dcterms:created>
  <dc:creator>赵 志林</dc:creator>
  <cp:lastModifiedBy>Sariel</cp:lastModifiedBy>
  <dcterms:modified xsi:type="dcterms:W3CDTF">2022-01-05T07:41:16Z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846A9F0748394202839D7A3C17A45612</vt:lpwstr>
  </property>
</Properties>
</file>